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480" w:right="0" w:firstLine="0"/>
        <w:jc w:val="left"/>
        <w:rPr>
          <w:b/>
          <w:sz w:val="36"/>
        </w:rPr>
      </w:pPr>
      <w:r>
        <w:rPr>
          <w:b/>
          <w:sz w:val="36"/>
        </w:rPr>
        <w:t>《二七区老旧小区物业管理实施方案》起草说明</w:t>
      </w:r>
    </w:p>
    <w:p>
      <w:pPr>
        <w:pStyle w:val="BodyText"/>
        <w:ind w:left="0" w:firstLine="0"/>
        <w:rPr>
          <w:b/>
          <w:sz w:val="36"/>
        </w:rPr>
      </w:pPr>
    </w:p>
    <w:p>
      <w:pPr>
        <w:pStyle w:val="BodyText"/>
        <w:spacing w:before="238"/>
        <w:ind w:left="760" w:firstLine="0"/>
      </w:pPr>
      <w:r>
        <w:rPr/>
        <w:t>一、制定背景说明</w:t>
      </w:r>
    </w:p>
    <w:p>
      <w:pPr>
        <w:pStyle w:val="BodyText"/>
        <w:spacing w:line="328" w:lineRule="auto" w:before="152"/>
        <w:ind w:right="405"/>
        <w:jc w:val="both"/>
      </w:pPr>
      <w:r>
        <w:rPr/>
        <w:t>2019</w:t>
      </w:r>
      <w:r>
        <w:rPr>
          <w:spacing w:val="-15"/>
        </w:rPr>
        <w:t> 年郑州市启动老旧小区综合改造工作以来，二七区</w:t>
      </w:r>
      <w:r>
        <w:rPr>
          <w:spacing w:val="-14"/>
        </w:rPr>
        <w:t>坚持以人民为中心的发展思想，聚焦城市“中优”的功能定</w:t>
      </w:r>
      <w:r>
        <w:rPr>
          <w:spacing w:val="-5"/>
        </w:rPr>
        <w:t>位，统筹推进老旧小区改造提质，带动老城区有机更新。老</w:t>
      </w:r>
      <w:r>
        <w:rPr>
          <w:spacing w:val="-6"/>
        </w:rPr>
        <w:t>旧小区改造的成果需要专业化物业管理保持和提升，由于老旧小区分布散、体量小、户数少，小区居民的消费习惯、消</w:t>
      </w:r>
      <w:r>
        <w:rPr>
          <w:spacing w:val="-7"/>
        </w:rPr>
        <w:t>费能力与专业化物业管理企业的管理成本存在一定差距，为</w:t>
      </w:r>
      <w:r>
        <w:rPr>
          <w:spacing w:val="-8"/>
        </w:rPr>
        <w:t>进一步加强和规范全区老旧小区物业管理工作，提升物业管理水平，切实改善群众居住环境，巩固老旧小区改造成果， </w:t>
      </w:r>
      <w:r>
        <w:rPr>
          <w:spacing w:val="-9"/>
        </w:rPr>
        <w:t>区房屋管理服务中心起草了《二七区老旧小区物业管理实施方案》（以下简称《方案》）。</w:t>
      </w:r>
    </w:p>
    <w:p>
      <w:pPr>
        <w:pStyle w:val="BodyText"/>
        <w:spacing w:before="208"/>
        <w:ind w:left="760" w:firstLine="0"/>
      </w:pPr>
      <w:r>
        <w:rPr/>
        <w:t>二、制定依据说明</w:t>
      </w:r>
    </w:p>
    <w:p>
      <w:pPr>
        <w:pStyle w:val="BodyText"/>
        <w:spacing w:line="328" w:lineRule="auto" w:before="149"/>
        <w:ind w:right="417"/>
        <w:jc w:val="both"/>
      </w:pPr>
      <w:r>
        <w:rPr>
          <w:spacing w:val="-15"/>
          <w:w w:val="95"/>
        </w:rPr>
        <w:t>《河南省物业管理条例》</w:t>
      </w:r>
      <w:r>
        <w:rPr>
          <w:spacing w:val="-36"/>
          <w:w w:val="95"/>
        </w:rPr>
        <w:t>、《郑州市物业管理条例》和《郑 </w:t>
      </w:r>
      <w:r>
        <w:rPr>
          <w:spacing w:val="-26"/>
          <w:w w:val="95"/>
        </w:rPr>
        <w:t>州市老旧小区综合改造工程实施方案》等文件，同时借鉴了 </w:t>
      </w:r>
      <w:r>
        <w:rPr>
          <w:spacing w:val="-26"/>
        </w:rPr>
        <w:t>郑州市其他县区经验做法。</w:t>
      </w:r>
    </w:p>
    <w:p>
      <w:pPr>
        <w:pStyle w:val="BodyText"/>
        <w:spacing w:line="405" w:lineRule="exact"/>
        <w:ind w:left="760" w:firstLine="0"/>
      </w:pPr>
      <w:r>
        <w:rPr/>
        <w:t>三、主要内容说明</w:t>
      </w:r>
    </w:p>
    <w:p>
      <w:pPr>
        <w:pStyle w:val="BodyText"/>
        <w:spacing w:line="328" w:lineRule="auto" w:before="149"/>
        <w:ind w:right="405"/>
        <w:jc w:val="both"/>
      </w:pPr>
      <w:r>
        <w:rPr/>
        <w:t>《方案》主要包含：目标意义、实施范围、基本原则、实施方式、服务内容、实施步骤、保障措施、工作要求、评分细则。重点内容如下：</w:t>
      </w:r>
    </w:p>
    <w:p>
      <w:pPr>
        <w:pStyle w:val="BodyText"/>
        <w:spacing w:line="405" w:lineRule="exact"/>
        <w:ind w:left="760" w:firstLine="0"/>
      </w:pPr>
      <w:r>
        <w:rPr>
          <w:rFonts w:ascii="楷体" w:eastAsia="楷体" w:hint="eastAsia"/>
        </w:rPr>
        <w:t>（一</w:t>
      </w:r>
      <w:r>
        <w:rPr>
          <w:rFonts w:ascii="楷体" w:eastAsia="楷体" w:hint="eastAsia"/>
          <w:spacing w:val="-87"/>
        </w:rPr>
        <w:t>）</w:t>
      </w:r>
      <w:r>
        <w:rPr>
          <w:rFonts w:ascii="楷体" w:eastAsia="楷体" w:hint="eastAsia"/>
          <w:spacing w:val="-18"/>
        </w:rPr>
        <w:t>实施范围：</w:t>
      </w:r>
      <w:r>
        <w:rPr/>
        <w:t>列入区老旧小区综合改造范围的小区。</w:t>
      </w:r>
    </w:p>
    <w:p>
      <w:pPr>
        <w:pStyle w:val="BodyText"/>
        <w:spacing w:before="3"/>
        <w:ind w:left="0" w:firstLine="0"/>
        <w:rPr>
          <w:sz w:val="29"/>
        </w:rPr>
      </w:pPr>
    </w:p>
    <w:p>
      <w:pPr>
        <w:pStyle w:val="BodyText"/>
        <w:spacing w:line="328" w:lineRule="auto"/>
        <w:ind w:right="373"/>
      </w:pPr>
      <w:r>
        <w:rPr>
          <w:rFonts w:ascii="楷体" w:eastAsia="楷体" w:hint="eastAsia"/>
        </w:rPr>
        <w:t>（二）基本原则：</w:t>
      </w:r>
      <w:r>
        <w:rPr/>
        <w:t>党建引领原则、属地管理原则、市场化运作原则、行业指导原则。</w:t>
      </w:r>
    </w:p>
    <w:p>
      <w:pPr>
        <w:spacing w:after="0" w:line="328" w:lineRule="auto"/>
        <w:sectPr>
          <w:type w:val="continuous"/>
          <w:pgSz w:w="11910" w:h="16840"/>
          <w:pgMar w:top="1480" w:bottom="280" w:left="1680" w:right="1380"/>
        </w:sectPr>
      </w:pPr>
    </w:p>
    <w:p>
      <w:pPr>
        <w:pStyle w:val="BodyText"/>
        <w:spacing w:line="328" w:lineRule="auto" w:before="32"/>
        <w:ind w:right="98"/>
      </w:pPr>
      <w:r>
        <w:rPr>
          <w:rFonts w:ascii="楷体" w:hAnsi="楷体" w:eastAsia="楷体" w:hint="eastAsia"/>
        </w:rPr>
        <w:t>（三</w:t>
      </w:r>
      <w:r>
        <w:rPr>
          <w:rFonts w:ascii="楷体" w:hAnsi="楷体" w:eastAsia="楷体" w:hint="eastAsia"/>
          <w:spacing w:val="-5"/>
        </w:rPr>
        <w:t>）</w:t>
      </w:r>
      <w:r>
        <w:rPr>
          <w:rFonts w:ascii="楷体" w:hAnsi="楷体" w:eastAsia="楷体" w:hint="eastAsia"/>
          <w:spacing w:val="-2"/>
        </w:rPr>
        <w:t>实施方式：</w:t>
      </w:r>
      <w:r>
        <w:rPr/>
        <w:t>对具备不同条件的老旧小区分类采取 </w:t>
      </w:r>
      <w:r>
        <w:rPr>
          <w:spacing w:val="-2"/>
        </w:rPr>
        <w:t>专业化物业企业管理模式、保障性管理模式。保障性管理模 </w:t>
      </w:r>
      <w:r>
        <w:rPr>
          <w:spacing w:val="-4"/>
        </w:rPr>
        <w:t>式分为单位后勤负责管理的小区及纳入“物业城市”管理模 </w:t>
      </w:r>
      <w:r>
        <w:rPr>
          <w:spacing w:val="-5"/>
          <w:w w:val="95"/>
        </w:rPr>
        <w:t>式的小区，后期将以老旧小区改造后物业服务管理为切入点， </w:t>
      </w:r>
      <w:r>
        <w:rPr>
          <w:spacing w:val="-9"/>
        </w:rPr>
        <w:t>积极探索“物业城市”管理模式，通过 </w:t>
      </w:r>
      <w:r>
        <w:rPr/>
        <w:t>1-2</w:t>
      </w:r>
      <w:r>
        <w:rPr>
          <w:spacing w:val="-11"/>
        </w:rPr>
        <w:t> 年的努力，逐步提高专业化物业管理覆盖率。</w:t>
      </w:r>
    </w:p>
    <w:p>
      <w:pPr>
        <w:pStyle w:val="BodyText"/>
        <w:spacing w:line="328" w:lineRule="auto" w:before="212"/>
        <w:ind w:right="417"/>
        <w:jc w:val="both"/>
      </w:pPr>
      <w:r>
        <w:rPr>
          <w:rFonts w:ascii="楷体" w:eastAsia="楷体" w:hint="eastAsia"/>
          <w:w w:val="95"/>
        </w:rPr>
        <w:t>（四</w:t>
      </w:r>
      <w:r>
        <w:rPr>
          <w:rFonts w:ascii="楷体" w:eastAsia="楷体" w:hint="eastAsia"/>
          <w:spacing w:val="-5"/>
          <w:w w:val="95"/>
        </w:rPr>
        <w:t>）</w:t>
      </w:r>
      <w:r>
        <w:rPr>
          <w:rFonts w:ascii="楷体" w:eastAsia="楷体" w:hint="eastAsia"/>
          <w:spacing w:val="-2"/>
          <w:w w:val="95"/>
        </w:rPr>
        <w:t>实施步骤：</w:t>
      </w:r>
      <w:r>
        <w:rPr>
          <w:w w:val="95"/>
        </w:rPr>
        <w:t>明确引入专业化物业管理贯穿老旧小 </w:t>
      </w:r>
      <w:r>
        <w:rPr>
          <w:spacing w:val="-3"/>
          <w:w w:val="95"/>
        </w:rPr>
        <w:t>区改造手续办理、设计施工、工程施工收尾、项目竣工验收 </w:t>
      </w:r>
      <w:r>
        <w:rPr>
          <w:spacing w:val="-3"/>
        </w:rPr>
        <w:t>等全过程，坚持老旧小区改造和物业管理同步。</w:t>
      </w:r>
    </w:p>
    <w:p>
      <w:pPr>
        <w:pStyle w:val="BodyText"/>
        <w:spacing w:line="326" w:lineRule="auto" w:before="221"/>
        <w:ind w:right="375"/>
      </w:pPr>
      <w:r>
        <w:rPr>
          <w:rFonts w:ascii="楷体" w:eastAsia="楷体" w:hint="eastAsia"/>
        </w:rPr>
        <w:t>（五）保障措施：</w:t>
      </w:r>
      <w:r>
        <w:rPr/>
        <w:t>明确各相关单位的任务分工和实施物业补贴的分级标准。</w:t>
      </w:r>
    </w:p>
    <w:p>
      <w:pPr>
        <w:pStyle w:val="BodyText"/>
        <w:spacing w:line="326" w:lineRule="auto" w:before="231"/>
        <w:ind w:right="259"/>
      </w:pPr>
      <w:r>
        <w:rPr>
          <w:rFonts w:ascii="楷体" w:eastAsia="楷体" w:hint="eastAsia"/>
          <w:w w:val="95"/>
        </w:rPr>
        <w:t>（六</w:t>
      </w:r>
      <w:r>
        <w:rPr>
          <w:rFonts w:ascii="楷体" w:eastAsia="楷体" w:hint="eastAsia"/>
          <w:spacing w:val="-87"/>
          <w:w w:val="95"/>
        </w:rPr>
        <w:t>）</w:t>
      </w:r>
      <w:r>
        <w:rPr>
          <w:rFonts w:ascii="楷体" w:eastAsia="楷体" w:hint="eastAsia"/>
          <w:w w:val="95"/>
        </w:rPr>
        <w:t>评分细则</w:t>
      </w:r>
      <w:r>
        <w:rPr>
          <w:spacing w:val="-10"/>
          <w:w w:val="95"/>
        </w:rPr>
        <w:t>：老旧小区物业管理考核成绩为百分制， </w:t>
      </w:r>
      <w:r>
        <w:rPr>
          <w:spacing w:val="-7"/>
        </w:rPr>
        <w:t>包含基础工作 </w:t>
      </w:r>
      <w:r>
        <w:rPr/>
        <w:t>20</w:t>
      </w:r>
      <w:r>
        <w:rPr>
          <w:spacing w:val="-16"/>
        </w:rPr>
        <w:t> 分、党建工作 </w:t>
      </w:r>
      <w:r>
        <w:rPr/>
        <w:t>15</w:t>
      </w:r>
      <w:r>
        <w:rPr>
          <w:spacing w:val="-16"/>
        </w:rPr>
        <w:t> 分、公共秩序 </w:t>
      </w:r>
      <w:r>
        <w:rPr/>
        <w:t>20</w:t>
      </w:r>
      <w:r>
        <w:rPr>
          <w:spacing w:val="-17"/>
        </w:rPr>
        <w:t> 分、保</w:t>
      </w:r>
    </w:p>
    <w:p>
      <w:pPr>
        <w:pStyle w:val="BodyText"/>
        <w:spacing w:line="328" w:lineRule="auto" w:before="3"/>
        <w:ind w:right="420" w:firstLine="0"/>
      </w:pPr>
      <w:r>
        <w:rPr>
          <w:spacing w:val="-17"/>
        </w:rPr>
        <w:t>洁绿化 </w:t>
      </w:r>
      <w:r>
        <w:rPr/>
        <w:t>20</w:t>
      </w:r>
      <w:r>
        <w:rPr>
          <w:spacing w:val="-16"/>
        </w:rPr>
        <w:t> 分、设施设备 </w:t>
      </w:r>
      <w:r>
        <w:rPr/>
        <w:t>15</w:t>
      </w:r>
      <w:r>
        <w:rPr>
          <w:spacing w:val="-14"/>
        </w:rPr>
        <w:t> 分、居民满意度 </w:t>
      </w:r>
      <w:r>
        <w:rPr/>
        <w:t>10</w:t>
      </w:r>
      <w:r>
        <w:rPr>
          <w:spacing w:val="-10"/>
        </w:rPr>
        <w:t> 分，相关缺项或未达到要求将具体对照评分细则进行扣分。</w:t>
      </w:r>
    </w:p>
    <w:sectPr>
      <w:pgSz w:w="11910" w:h="16840"/>
      <w:pgMar w:top="1520" w:bottom="280" w:left="16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楷体">
    <w:altName w:val="楷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20" w:firstLine="640"/>
    </w:pPr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2022-04-13T01:36:13Z</dcterms:created>
  <dcterms:modified xsi:type="dcterms:W3CDTF">2022-04-13T01:36:13Z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2022-04-13T00:00:00Z</vt:filetime>
  </property>
</Properties>
</file>